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0A37" w14:textId="5F59FFC0" w:rsidR="00845E23" w:rsidRPr="0030009E" w:rsidRDefault="00D74EBB" w:rsidP="0030009E">
      <w:pPr>
        <w:jc w:val="center"/>
        <w:rPr>
          <w:i/>
        </w:rPr>
      </w:pPr>
      <w:r w:rsidRPr="00D74EBB">
        <w:rPr>
          <w:i/>
          <w:noProof/>
        </w:rPr>
        <mc:AlternateContent>
          <mc:Choice Requires="wps">
            <w:drawing>
              <wp:anchor distT="45720" distB="45720" distL="114300" distR="114300" simplePos="0" relativeHeight="251659264" behindDoc="0" locked="0" layoutInCell="1" allowOverlap="1" wp14:anchorId="1AB551E1" wp14:editId="426A2821">
                <wp:simplePos x="0" y="0"/>
                <wp:positionH relativeFrom="column">
                  <wp:posOffset>5791200</wp:posOffset>
                </wp:positionH>
                <wp:positionV relativeFrom="paragraph">
                  <wp:posOffset>0</wp:posOffset>
                </wp:positionV>
                <wp:extent cx="64008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solidFill>
                          <a:schemeClr val="bg1"/>
                        </a:solidFill>
                        <a:ln w="9525">
                          <a:noFill/>
                          <a:miter lim="800000"/>
                          <a:headEnd/>
                          <a:tailEnd/>
                        </a:ln>
                      </wps:spPr>
                      <wps:txbx>
                        <w:txbxContent>
                          <w:p w14:paraId="04552CB0" w14:textId="044D0812" w:rsidR="00D74EBB" w:rsidRDefault="00D74EBB" w:rsidP="00D74EBB">
                            <w:pPr>
                              <w:jc w:val="right"/>
                            </w:pPr>
                            <w:r>
                              <w:t>V18.2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551E1" id="_x0000_t202" coordsize="21600,21600" o:spt="202" path="m,l,21600r21600,l21600,xe">
                <v:stroke joinstyle="miter"/>
                <v:path gradientshapeok="t" o:connecttype="rect"/>
              </v:shapetype>
              <v:shape id="Text Box 2" o:spid="_x0000_s1026" type="#_x0000_t202" style="position:absolute;left:0;text-align:left;margin-left:456pt;margin-top:0;width:5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gnHwIAABw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" fillcolor="white [3212]" stroked="f">
                <v:textbox style="mso-fit-shape-to-text:t">
                  <w:txbxContent>
                    <w:p w14:paraId="04552CB0" w14:textId="044D0812" w:rsidR="00D74EBB" w:rsidRDefault="00D74EBB" w:rsidP="00D74EBB">
                      <w:pPr>
                        <w:jc w:val="right"/>
                      </w:pPr>
                      <w:r>
                        <w:t>V18.2</w:t>
                      </w:r>
                    </w:p>
                  </w:txbxContent>
                </v:textbox>
              </v:shape>
            </w:pict>
          </mc:Fallback>
        </mc:AlternateContent>
      </w:r>
      <w:r w:rsidR="0030009E" w:rsidRPr="0030009E">
        <w:rPr>
          <w:i/>
        </w:rPr>
        <w:t>On Client Letterhead</w:t>
      </w:r>
    </w:p>
    <w:p w14:paraId="3F377BAD" w14:textId="3AEB6BB5" w:rsidR="0030009E" w:rsidRDefault="0030009E">
      <w:r w:rsidRPr="0030009E">
        <w:rPr>
          <w:highlight w:val="yellow"/>
        </w:rPr>
        <w:t>Date</w:t>
      </w:r>
    </w:p>
    <w:p w14:paraId="72968538" w14:textId="7EB4CE9E" w:rsidR="00F64A06" w:rsidRPr="0030009E" w:rsidRDefault="0030009E">
      <w:pPr>
        <w:rPr>
          <w:rFonts w:cstheme="minorHAnsi"/>
          <w:sz w:val="24"/>
          <w:szCs w:val="24"/>
          <w:highlight w:val="yellow"/>
        </w:rPr>
      </w:pPr>
      <w:r w:rsidRPr="0030009E">
        <w:rPr>
          <w:rFonts w:cstheme="minorHAnsi"/>
          <w:sz w:val="24"/>
          <w:szCs w:val="24"/>
          <w:highlight w:val="yellow"/>
        </w:rPr>
        <w:t>CPA FIRM NAME</w:t>
      </w:r>
      <w:bookmarkStart w:id="0" w:name="_GoBack"/>
      <w:bookmarkEnd w:id="0"/>
    </w:p>
    <w:p w14:paraId="79676D1E" w14:textId="72F239F2" w:rsidR="0030009E" w:rsidRPr="0030009E" w:rsidRDefault="0030009E">
      <w:pPr>
        <w:rPr>
          <w:rFonts w:cstheme="minorHAnsi"/>
          <w:sz w:val="24"/>
          <w:szCs w:val="24"/>
        </w:rPr>
      </w:pPr>
      <w:r w:rsidRPr="0030009E">
        <w:rPr>
          <w:rFonts w:cstheme="minorHAnsi"/>
          <w:sz w:val="24"/>
          <w:szCs w:val="24"/>
          <w:highlight w:val="yellow"/>
        </w:rPr>
        <w:t>CPA FIRM ADDRESS</w:t>
      </w:r>
    </w:p>
    <w:p w14:paraId="138199C0" w14:textId="77777777" w:rsidR="00F64A06" w:rsidRPr="0030009E" w:rsidRDefault="00F64A06">
      <w:pPr>
        <w:rPr>
          <w:rFonts w:cstheme="minorHAnsi"/>
          <w:sz w:val="24"/>
          <w:szCs w:val="24"/>
        </w:rPr>
      </w:pPr>
    </w:p>
    <w:p w14:paraId="7856EC41" w14:textId="35D38036" w:rsidR="00F64A06" w:rsidRPr="0030009E" w:rsidRDefault="00F64A06" w:rsidP="00F64A06">
      <w:pPr>
        <w:autoSpaceDE w:val="0"/>
        <w:autoSpaceDN w:val="0"/>
        <w:adjustRightInd w:val="0"/>
        <w:spacing w:after="0" w:line="240" w:lineRule="auto"/>
        <w:rPr>
          <w:rFonts w:cstheme="minorHAnsi"/>
          <w:sz w:val="24"/>
          <w:szCs w:val="24"/>
        </w:rPr>
      </w:pPr>
      <w:r w:rsidRPr="0030009E">
        <w:rPr>
          <w:rFonts w:cstheme="minorHAnsi"/>
          <w:sz w:val="24"/>
          <w:szCs w:val="24"/>
        </w:rPr>
        <w:t xml:space="preserve">In connection with your engagement to apply the agreed-upon procedure to the electronic submission and related hard copy documents of </w:t>
      </w:r>
      <w:r w:rsidRPr="0030009E">
        <w:rPr>
          <w:rFonts w:cstheme="minorHAnsi"/>
          <w:sz w:val="24"/>
          <w:szCs w:val="24"/>
          <w:highlight w:val="yellow"/>
        </w:rPr>
        <w:t>[Lender</w:t>
      </w:r>
      <w:r w:rsidRPr="0030009E">
        <w:rPr>
          <w:rFonts w:cstheme="minorHAnsi"/>
          <w:sz w:val="24"/>
          <w:szCs w:val="24"/>
        </w:rPr>
        <w:t>] as of and for the year ended [Date</w:t>
      </w:r>
      <w:proofErr w:type="gramStart"/>
      <w:r w:rsidRPr="0030009E">
        <w:rPr>
          <w:rFonts w:cstheme="minorHAnsi"/>
          <w:sz w:val="24"/>
          <w:szCs w:val="24"/>
        </w:rPr>
        <w:t>] ,</w:t>
      </w:r>
      <w:proofErr w:type="gramEnd"/>
      <w:r w:rsidRPr="0030009E">
        <w:rPr>
          <w:rFonts w:cstheme="minorHAnsi"/>
          <w:sz w:val="24"/>
          <w:szCs w:val="24"/>
        </w:rPr>
        <w:t xml:space="preserve"> we confirm, to the best of our knowledge and belief, the following representations made to you during your engagement.</w:t>
      </w:r>
    </w:p>
    <w:p w14:paraId="0E979E06" w14:textId="77777777" w:rsidR="00F64A06" w:rsidRPr="0030009E" w:rsidRDefault="00F64A06" w:rsidP="00F64A06">
      <w:pPr>
        <w:autoSpaceDE w:val="0"/>
        <w:autoSpaceDN w:val="0"/>
        <w:adjustRightInd w:val="0"/>
        <w:spacing w:after="0" w:line="240" w:lineRule="auto"/>
        <w:rPr>
          <w:rFonts w:cstheme="minorHAnsi"/>
          <w:sz w:val="24"/>
          <w:szCs w:val="24"/>
        </w:rPr>
      </w:pPr>
    </w:p>
    <w:p w14:paraId="004769C4" w14:textId="07F831BC" w:rsidR="00F64A06" w:rsidRPr="0030009E" w:rsidRDefault="00F64A06" w:rsidP="0030009E">
      <w:pPr>
        <w:pStyle w:val="ListParagraph"/>
        <w:numPr>
          <w:ilvl w:val="0"/>
          <w:numId w:val="2"/>
        </w:numPr>
        <w:autoSpaceDE w:val="0"/>
        <w:autoSpaceDN w:val="0"/>
        <w:adjustRightInd w:val="0"/>
        <w:spacing w:after="0" w:line="240" w:lineRule="auto"/>
        <w:ind w:left="360"/>
        <w:rPr>
          <w:rFonts w:cstheme="minorHAnsi"/>
          <w:sz w:val="24"/>
          <w:szCs w:val="24"/>
        </w:rPr>
      </w:pPr>
      <w:r w:rsidRPr="0030009E">
        <w:rPr>
          <w:rFonts w:cstheme="minorHAnsi"/>
          <w:sz w:val="24"/>
          <w:szCs w:val="24"/>
        </w:rPr>
        <w:t>We are responsible for the electronic submission of required annual financial data to U.S. Department of Housing and Urban Development (HUD), Lender Electronic Assessment Portal (LEAP) and for ensuring that it is complete, accurate, and timely filed, in accordance with our regulatory and contractual obligations to the HUD.</w:t>
      </w:r>
    </w:p>
    <w:p w14:paraId="7E3C30B1" w14:textId="08D43308" w:rsidR="00F64A06" w:rsidRPr="0030009E" w:rsidRDefault="00F64A06" w:rsidP="0030009E">
      <w:pPr>
        <w:pStyle w:val="ListParagraph"/>
        <w:numPr>
          <w:ilvl w:val="0"/>
          <w:numId w:val="2"/>
        </w:numPr>
        <w:autoSpaceDE w:val="0"/>
        <w:autoSpaceDN w:val="0"/>
        <w:adjustRightInd w:val="0"/>
        <w:spacing w:after="0" w:line="240" w:lineRule="auto"/>
        <w:ind w:left="360"/>
        <w:rPr>
          <w:rFonts w:cstheme="minorHAnsi"/>
          <w:sz w:val="24"/>
          <w:szCs w:val="24"/>
        </w:rPr>
      </w:pPr>
      <w:r w:rsidRPr="0030009E">
        <w:rPr>
          <w:rFonts w:cstheme="minorHAnsi"/>
          <w:sz w:val="24"/>
          <w:szCs w:val="24"/>
        </w:rPr>
        <w:t>The electronic submission of the items listed in the “</w:t>
      </w:r>
      <w:r w:rsidR="0030009E" w:rsidRPr="0030009E">
        <w:rPr>
          <w:rFonts w:cstheme="minorHAnsi"/>
          <w:sz w:val="24"/>
          <w:szCs w:val="24"/>
        </w:rPr>
        <w:t>Category (</w:t>
      </w:r>
      <w:r w:rsidRPr="0030009E">
        <w:rPr>
          <w:rFonts w:cstheme="minorHAnsi"/>
          <w:sz w:val="24"/>
          <w:szCs w:val="24"/>
        </w:rPr>
        <w:t>UFRS Rule Information</w:t>
      </w:r>
      <w:r w:rsidR="0030009E" w:rsidRPr="0030009E">
        <w:rPr>
          <w:rFonts w:cstheme="minorHAnsi"/>
          <w:sz w:val="24"/>
          <w:szCs w:val="24"/>
        </w:rPr>
        <w:t>)</w:t>
      </w:r>
      <w:r w:rsidRPr="0030009E">
        <w:rPr>
          <w:rFonts w:cstheme="minorHAnsi"/>
          <w:sz w:val="24"/>
          <w:szCs w:val="24"/>
        </w:rPr>
        <w:t>” column agrees exactly with the corresponding printed documents listed in the “Procedures Applied” column as shown below.</w:t>
      </w:r>
    </w:p>
    <w:p w14:paraId="39780D79" w14:textId="4993EE19" w:rsidR="00F64A06" w:rsidRDefault="00F64A06" w:rsidP="00F64A06">
      <w:pPr>
        <w:autoSpaceDE w:val="0"/>
        <w:autoSpaceDN w:val="0"/>
        <w:adjustRightInd w:val="0"/>
        <w:spacing w:after="0" w:line="240" w:lineRule="auto"/>
      </w:pPr>
    </w:p>
    <w:tbl>
      <w:tblPr>
        <w:tblStyle w:val="TableGrid"/>
        <w:tblW w:w="9236" w:type="dxa"/>
        <w:tblLook w:val="04A0" w:firstRow="1" w:lastRow="0" w:firstColumn="1" w:lastColumn="0" w:noHBand="0" w:noVBand="1"/>
      </w:tblPr>
      <w:tblGrid>
        <w:gridCol w:w="3595"/>
        <w:gridCol w:w="4410"/>
        <w:gridCol w:w="1231"/>
      </w:tblGrid>
      <w:tr w:rsidR="00F64A06" w:rsidRPr="006D2714" w14:paraId="3536F135" w14:textId="77777777" w:rsidTr="00F64A06">
        <w:trPr>
          <w:trHeight w:val="248"/>
        </w:trPr>
        <w:tc>
          <w:tcPr>
            <w:tcW w:w="3595" w:type="dxa"/>
          </w:tcPr>
          <w:p w14:paraId="42175E2D" w14:textId="77777777" w:rsidR="00F64A06" w:rsidRPr="006D2714" w:rsidRDefault="00F64A06" w:rsidP="00695D9E">
            <w:pPr>
              <w:rPr>
                <w:b/>
              </w:rPr>
            </w:pPr>
            <w:r w:rsidRPr="006D2714">
              <w:rPr>
                <w:b/>
              </w:rPr>
              <w:t>Category</w:t>
            </w:r>
            <w:r>
              <w:rPr>
                <w:b/>
              </w:rPr>
              <w:t xml:space="preserve"> (UFRS Rule Information)</w:t>
            </w:r>
          </w:p>
        </w:tc>
        <w:tc>
          <w:tcPr>
            <w:tcW w:w="4410" w:type="dxa"/>
          </w:tcPr>
          <w:p w14:paraId="1584AA8F" w14:textId="77777777" w:rsidR="00F64A06" w:rsidRPr="006D2714" w:rsidRDefault="00F64A06" w:rsidP="00695D9E">
            <w:pPr>
              <w:rPr>
                <w:b/>
              </w:rPr>
            </w:pPr>
            <w:r w:rsidRPr="006D2714">
              <w:rPr>
                <w:b/>
              </w:rPr>
              <w:t>Procedures Applied</w:t>
            </w:r>
          </w:p>
        </w:tc>
        <w:tc>
          <w:tcPr>
            <w:tcW w:w="1231" w:type="dxa"/>
          </w:tcPr>
          <w:p w14:paraId="1D8FEAFF" w14:textId="77777777" w:rsidR="00F64A06" w:rsidRPr="006D2714" w:rsidRDefault="00F64A06" w:rsidP="00695D9E">
            <w:pPr>
              <w:rPr>
                <w:b/>
              </w:rPr>
            </w:pPr>
            <w:r w:rsidRPr="006D2714">
              <w:rPr>
                <w:b/>
              </w:rPr>
              <w:t>Findings</w:t>
            </w:r>
          </w:p>
        </w:tc>
      </w:tr>
      <w:tr w:rsidR="00F64A06" w:rsidRPr="006D2714" w14:paraId="3803F277" w14:textId="77777777" w:rsidTr="00F64A06">
        <w:trPr>
          <w:trHeight w:val="1727"/>
        </w:trPr>
        <w:tc>
          <w:tcPr>
            <w:tcW w:w="3595" w:type="dxa"/>
          </w:tcPr>
          <w:p w14:paraId="17D05D6A" w14:textId="64BE0910" w:rsidR="00F64A06" w:rsidRPr="006D2714" w:rsidRDefault="00F64A06" w:rsidP="00695D9E">
            <w:r w:rsidRPr="00E2159E">
              <w:rPr>
                <w:rFonts w:ascii="Calibri" w:eastAsiaTheme="minorEastAsia" w:hAnsi="Calibri" w:cs="Calibri"/>
                <w:bCs/>
              </w:rPr>
              <w:t>Financial</w:t>
            </w:r>
            <w:r w:rsidRPr="00E2159E">
              <w:rPr>
                <w:rFonts w:ascii="Calibri" w:eastAsiaTheme="minorEastAsia" w:hAnsi="Calibri" w:cs="Calibri"/>
              </w:rPr>
              <w:t xml:space="preserve"> Data Template (FDT)</w:t>
            </w:r>
          </w:p>
        </w:tc>
        <w:tc>
          <w:tcPr>
            <w:tcW w:w="4410" w:type="dxa"/>
          </w:tcPr>
          <w:p w14:paraId="2F9C7936" w14:textId="158C61A2" w:rsidR="00F64A06" w:rsidRPr="006D2714" w:rsidRDefault="00F64A06" w:rsidP="00695D9E">
            <w:r w:rsidRPr="00E2159E">
              <w:rPr>
                <w:rFonts w:ascii="Calibri" w:eastAsiaTheme="minorEastAsia" w:hAnsi="Calibri" w:cs="Calibri"/>
                <w:bCs/>
              </w:rPr>
              <w:t>We</w:t>
            </w:r>
            <w:r w:rsidRPr="00E2159E">
              <w:rPr>
                <w:rFonts w:ascii="Calibri" w:eastAsiaTheme="minorEastAsia" w:hAnsi="Calibri" w:cs="Calibri"/>
              </w:rPr>
              <w:t xml:space="preserve"> compared the electronic Financial Data Entry input in LEAP</w:t>
            </w:r>
            <w:r w:rsidRPr="00E2159E">
              <w:rPr>
                <w:rFonts w:ascii="Calibri" w:eastAsiaTheme="minorEastAsia" w:hAnsi="Calibri" w:cs="Calibri"/>
                <w:color w:val="000000"/>
              </w:rPr>
              <w:t xml:space="preserve"> to the hard copy Financial Data Entry provided as a supplemental schedule opined on in relation to the financial statements </w:t>
            </w:r>
            <w:proofErr w:type="gramStart"/>
            <w:r w:rsidRPr="00E2159E">
              <w:rPr>
                <w:rFonts w:ascii="Calibri" w:eastAsiaTheme="minorEastAsia" w:hAnsi="Calibri" w:cs="Calibri"/>
                <w:color w:val="000000"/>
              </w:rPr>
              <w:t>as a whole and</w:t>
            </w:r>
            <w:proofErr w:type="gramEnd"/>
            <w:r w:rsidRPr="00E2159E">
              <w:rPr>
                <w:rFonts w:ascii="Calibri" w:eastAsiaTheme="minorEastAsia" w:hAnsi="Calibri" w:cs="Calibri"/>
                <w:color w:val="000000"/>
              </w:rPr>
              <w:t xml:space="preserve"> attached in line item 040 of the Audit Related Questions and Documents (ARQ).</w:t>
            </w:r>
          </w:p>
        </w:tc>
        <w:tc>
          <w:tcPr>
            <w:tcW w:w="1231" w:type="dxa"/>
          </w:tcPr>
          <w:p w14:paraId="20E2CDF5" w14:textId="77777777" w:rsidR="00F64A06" w:rsidRPr="006D2714" w:rsidRDefault="00F64A06" w:rsidP="00695D9E">
            <w:r w:rsidRPr="006D2714">
              <w:t>Agrees</w:t>
            </w:r>
          </w:p>
        </w:tc>
      </w:tr>
      <w:tr w:rsidR="00F64A06" w:rsidRPr="006D2714" w14:paraId="4E8FC4EA" w14:textId="77777777" w:rsidTr="00F64A06">
        <w:trPr>
          <w:trHeight w:val="1229"/>
        </w:trPr>
        <w:tc>
          <w:tcPr>
            <w:tcW w:w="3595" w:type="dxa"/>
          </w:tcPr>
          <w:p w14:paraId="0A799D7E" w14:textId="3B73C11B" w:rsidR="00F64A06" w:rsidRPr="006D2714" w:rsidRDefault="00F64A06" w:rsidP="00695D9E">
            <w:r w:rsidRPr="00E2159E">
              <w:rPr>
                <w:rFonts w:ascii="Calibri" w:eastAsiaTheme="minorEastAsia" w:hAnsi="Calibri" w:cs="Calibri"/>
                <w:bCs/>
              </w:rPr>
              <w:t>Schedule</w:t>
            </w:r>
            <w:r w:rsidRPr="00E2159E">
              <w:rPr>
                <w:rFonts w:ascii="Calibri" w:eastAsiaTheme="minorEastAsia" w:hAnsi="Calibri" w:cs="Calibri"/>
              </w:rPr>
              <w:t xml:space="preserve"> of Findings, Questioned Costs, and Recommendations</w:t>
            </w:r>
          </w:p>
        </w:tc>
        <w:tc>
          <w:tcPr>
            <w:tcW w:w="4410" w:type="dxa"/>
          </w:tcPr>
          <w:p w14:paraId="769BB194" w14:textId="5AC6EF6C" w:rsidR="00F64A06" w:rsidRPr="006D2714" w:rsidRDefault="00F64A06" w:rsidP="00695D9E">
            <w:r w:rsidRPr="00E2159E">
              <w:rPr>
                <w:rFonts w:ascii="Calibri" w:eastAsiaTheme="minorEastAsia" w:hAnsi="Calibri" w:cs="Calibri"/>
                <w:bCs/>
              </w:rPr>
              <w:t>We</w:t>
            </w:r>
            <w:r w:rsidRPr="00E2159E">
              <w:rPr>
                <w:rFonts w:ascii="Calibri" w:eastAsiaTheme="minorEastAsia" w:hAnsi="Calibri" w:cs="Calibri"/>
              </w:rPr>
              <w:t xml:space="preserve"> compared the schedule of</w:t>
            </w:r>
            <w:r w:rsidRPr="00E2159E">
              <w:rPr>
                <w:rFonts w:ascii="Calibri" w:eastAsiaTheme="minorEastAsia" w:hAnsi="Calibri" w:cs="Calibri"/>
                <w:color w:val="000000"/>
              </w:rPr>
              <w:t xml:space="preserve"> findings, questioned costs, and recommendations attached in line item 043 of the ARQ to the hard copy schedule of findings, questioned costs, and recommendations.</w:t>
            </w:r>
          </w:p>
        </w:tc>
        <w:tc>
          <w:tcPr>
            <w:tcW w:w="1231" w:type="dxa"/>
          </w:tcPr>
          <w:p w14:paraId="4DF86D8E" w14:textId="77777777" w:rsidR="00F64A06" w:rsidRPr="006D2714" w:rsidRDefault="00F64A06" w:rsidP="00695D9E">
            <w:pPr>
              <w:rPr>
                <w:b/>
              </w:rPr>
            </w:pPr>
            <w:r w:rsidRPr="006D2714">
              <w:t>Agrees</w:t>
            </w:r>
          </w:p>
        </w:tc>
      </w:tr>
      <w:tr w:rsidR="00F64A06" w:rsidRPr="006D2714" w14:paraId="73C60437" w14:textId="77777777" w:rsidTr="00F64A06">
        <w:trPr>
          <w:trHeight w:val="732"/>
        </w:trPr>
        <w:tc>
          <w:tcPr>
            <w:tcW w:w="3595" w:type="dxa"/>
          </w:tcPr>
          <w:p w14:paraId="7C822729" w14:textId="3476056E" w:rsidR="00F64A06" w:rsidRPr="006D2714" w:rsidRDefault="00F64A06" w:rsidP="00695D9E">
            <w:r w:rsidRPr="00E2159E">
              <w:rPr>
                <w:rFonts w:ascii="Calibri" w:eastAsiaTheme="minorEastAsia" w:hAnsi="Calibri" w:cs="Calibri"/>
                <w:bCs/>
              </w:rPr>
              <w:t>Management</w:t>
            </w:r>
            <w:r w:rsidRPr="00E2159E">
              <w:rPr>
                <w:rFonts w:ascii="Calibri" w:eastAsiaTheme="minorEastAsia" w:hAnsi="Calibri" w:cs="Calibri"/>
              </w:rPr>
              <w:t xml:space="preserve"> Letter</w:t>
            </w:r>
          </w:p>
        </w:tc>
        <w:tc>
          <w:tcPr>
            <w:tcW w:w="4410" w:type="dxa"/>
          </w:tcPr>
          <w:p w14:paraId="28254E27" w14:textId="7570A33D" w:rsidR="00F64A06" w:rsidRPr="006D2714" w:rsidRDefault="00F64A06" w:rsidP="00695D9E">
            <w:r w:rsidRPr="00E2159E">
              <w:rPr>
                <w:rFonts w:ascii="Calibri" w:eastAsiaTheme="minorEastAsia" w:hAnsi="Calibri" w:cs="Calibri"/>
                <w:bCs/>
              </w:rPr>
              <w:t>We</w:t>
            </w:r>
            <w:r w:rsidRPr="00E2159E">
              <w:rPr>
                <w:rFonts w:ascii="Calibri" w:eastAsiaTheme="minorEastAsia" w:hAnsi="Calibri" w:cs="Calibri"/>
              </w:rPr>
              <w:t xml:space="preserve"> compared the management letter attached in line</w:t>
            </w:r>
            <w:r w:rsidRPr="00E2159E">
              <w:rPr>
                <w:rFonts w:ascii="Calibri" w:eastAsiaTheme="minorEastAsia" w:hAnsi="Calibri" w:cs="Calibri"/>
                <w:color w:val="000000"/>
              </w:rPr>
              <w:t xml:space="preserve"> item 050 of the ARQ to the hard copy management letter.</w:t>
            </w:r>
          </w:p>
        </w:tc>
        <w:tc>
          <w:tcPr>
            <w:tcW w:w="1231" w:type="dxa"/>
          </w:tcPr>
          <w:p w14:paraId="3A33E431" w14:textId="77777777" w:rsidR="00F64A06" w:rsidRPr="006D2714" w:rsidRDefault="00F64A06" w:rsidP="00695D9E">
            <w:pPr>
              <w:rPr>
                <w:b/>
              </w:rPr>
            </w:pPr>
            <w:r w:rsidRPr="006D2714">
              <w:t>Agrees</w:t>
            </w:r>
          </w:p>
        </w:tc>
      </w:tr>
      <w:tr w:rsidR="00F64A06" w:rsidRPr="006D2714" w14:paraId="281A5378" w14:textId="77777777" w:rsidTr="00F64A06">
        <w:trPr>
          <w:trHeight w:val="732"/>
        </w:trPr>
        <w:tc>
          <w:tcPr>
            <w:tcW w:w="3595" w:type="dxa"/>
          </w:tcPr>
          <w:p w14:paraId="0E9C98B6" w14:textId="7360F9E5" w:rsidR="00F64A06" w:rsidRPr="006D2714" w:rsidRDefault="00F64A06" w:rsidP="00695D9E">
            <w:r w:rsidRPr="00E2159E">
              <w:rPr>
                <w:rFonts w:ascii="Calibri" w:eastAsiaTheme="minorEastAsia" w:hAnsi="Calibri" w:cs="Calibri"/>
                <w:bCs/>
              </w:rPr>
              <w:t>Corrective</w:t>
            </w:r>
            <w:r w:rsidRPr="00E2159E">
              <w:rPr>
                <w:rFonts w:ascii="Calibri" w:eastAsiaTheme="minorEastAsia" w:hAnsi="Calibri" w:cs="Calibri"/>
              </w:rPr>
              <w:t xml:space="preserve"> Action Plans</w:t>
            </w:r>
          </w:p>
        </w:tc>
        <w:tc>
          <w:tcPr>
            <w:tcW w:w="4410" w:type="dxa"/>
          </w:tcPr>
          <w:p w14:paraId="289B32CB" w14:textId="6E45A759" w:rsidR="00F64A06" w:rsidRPr="006D2714" w:rsidRDefault="00F64A06" w:rsidP="00695D9E">
            <w:r w:rsidRPr="00E2159E">
              <w:rPr>
                <w:rFonts w:ascii="Calibri" w:eastAsiaTheme="minorEastAsia" w:hAnsi="Calibri" w:cs="Calibri"/>
                <w:bCs/>
              </w:rPr>
              <w:t>We</w:t>
            </w:r>
            <w:r w:rsidRPr="00E2159E">
              <w:rPr>
                <w:rFonts w:ascii="Calibri" w:eastAsiaTheme="minorEastAsia" w:hAnsi="Calibri" w:cs="Calibri"/>
              </w:rPr>
              <w:t xml:space="preserve"> compared</w:t>
            </w:r>
            <w:r w:rsidRPr="00E2159E">
              <w:rPr>
                <w:rFonts w:ascii="Calibri" w:eastAsiaTheme="minorEastAsia" w:hAnsi="Calibri" w:cs="Calibri"/>
                <w:color w:val="000000"/>
              </w:rPr>
              <w:t xml:space="preserve"> the corrective action plans attached in line items 051 and 052 of the ARQ to the hard copy corrective action plans. </w:t>
            </w:r>
          </w:p>
        </w:tc>
        <w:tc>
          <w:tcPr>
            <w:tcW w:w="1231" w:type="dxa"/>
          </w:tcPr>
          <w:p w14:paraId="64F863D2" w14:textId="77777777" w:rsidR="00F64A06" w:rsidRPr="006D2714" w:rsidRDefault="00F64A06" w:rsidP="00695D9E">
            <w:pPr>
              <w:rPr>
                <w:b/>
              </w:rPr>
            </w:pPr>
            <w:r w:rsidRPr="006D2714">
              <w:t>Agrees</w:t>
            </w:r>
          </w:p>
        </w:tc>
      </w:tr>
    </w:tbl>
    <w:p w14:paraId="4B220BEC" w14:textId="74304A94" w:rsidR="00F64A06" w:rsidRPr="0030009E" w:rsidRDefault="00F64A06" w:rsidP="00F64A06">
      <w:pPr>
        <w:autoSpaceDE w:val="0"/>
        <w:autoSpaceDN w:val="0"/>
        <w:adjustRightInd w:val="0"/>
        <w:spacing w:after="0" w:line="240" w:lineRule="auto"/>
      </w:pPr>
    </w:p>
    <w:p w14:paraId="012DF76F" w14:textId="5B7A1046" w:rsidR="00F64A06" w:rsidRPr="0030009E" w:rsidRDefault="00F64A06" w:rsidP="00F64A06">
      <w:pPr>
        <w:autoSpaceDE w:val="0"/>
        <w:autoSpaceDN w:val="0"/>
        <w:adjustRightInd w:val="0"/>
        <w:spacing w:after="0" w:line="240" w:lineRule="auto"/>
      </w:pPr>
    </w:p>
    <w:p w14:paraId="4EDE2F79" w14:textId="6EF12C69" w:rsidR="00F64A06" w:rsidRPr="0030009E" w:rsidRDefault="00F64A06" w:rsidP="0030009E">
      <w:pPr>
        <w:pStyle w:val="ListParagraph"/>
        <w:numPr>
          <w:ilvl w:val="0"/>
          <w:numId w:val="2"/>
        </w:numPr>
        <w:autoSpaceDE w:val="0"/>
        <w:autoSpaceDN w:val="0"/>
        <w:adjustRightInd w:val="0"/>
        <w:spacing w:after="0" w:line="240" w:lineRule="auto"/>
        <w:ind w:left="360"/>
        <w:rPr>
          <w:rFonts w:cstheme="minorHAnsi"/>
          <w:bCs/>
          <w:sz w:val="24"/>
          <w:szCs w:val="24"/>
        </w:rPr>
      </w:pPr>
      <w:r w:rsidRPr="0030009E">
        <w:rPr>
          <w:rFonts w:cstheme="minorHAnsi"/>
          <w:sz w:val="24"/>
          <w:szCs w:val="24"/>
        </w:rPr>
        <w:t xml:space="preserve">We have disclosed to you all known matters contradicting the completeness or accuracy of the </w:t>
      </w:r>
      <w:r w:rsidR="0030009E" w:rsidRPr="0030009E">
        <w:rPr>
          <w:rFonts w:cstheme="minorHAnsi"/>
          <w:sz w:val="24"/>
          <w:szCs w:val="24"/>
        </w:rPr>
        <w:t>LEAP</w:t>
      </w:r>
      <w:r w:rsidRPr="0030009E">
        <w:rPr>
          <w:rFonts w:cstheme="minorHAnsi"/>
          <w:sz w:val="24"/>
          <w:szCs w:val="24"/>
        </w:rPr>
        <w:t xml:space="preserve"> submission and </w:t>
      </w:r>
      <w:r w:rsidR="0030009E" w:rsidRPr="0030009E">
        <w:rPr>
          <w:rFonts w:cstheme="minorHAnsi"/>
          <w:sz w:val="24"/>
          <w:szCs w:val="24"/>
        </w:rPr>
        <w:t>the documents referred to under “Procedures Applied”</w:t>
      </w:r>
      <w:r w:rsidRPr="0030009E">
        <w:rPr>
          <w:rFonts w:cstheme="minorHAnsi"/>
          <w:sz w:val="24"/>
          <w:szCs w:val="24"/>
        </w:rPr>
        <w:t>.</w:t>
      </w:r>
    </w:p>
    <w:p w14:paraId="4B922BC7" w14:textId="77777777" w:rsidR="00F64A06" w:rsidRPr="0030009E" w:rsidRDefault="00F64A06" w:rsidP="00F64A06">
      <w:pPr>
        <w:autoSpaceDE w:val="0"/>
        <w:autoSpaceDN w:val="0"/>
        <w:adjustRightInd w:val="0"/>
        <w:spacing w:after="0" w:line="240" w:lineRule="auto"/>
        <w:ind w:left="360"/>
        <w:rPr>
          <w:rFonts w:cstheme="minorHAnsi"/>
          <w:bCs/>
          <w:sz w:val="24"/>
          <w:szCs w:val="24"/>
        </w:rPr>
      </w:pPr>
    </w:p>
    <w:p w14:paraId="6B5E6C44" w14:textId="0E01A4BC" w:rsidR="00F64A06" w:rsidRPr="0030009E" w:rsidRDefault="00F64A06" w:rsidP="0030009E">
      <w:pPr>
        <w:pStyle w:val="ListParagraph"/>
        <w:numPr>
          <w:ilvl w:val="0"/>
          <w:numId w:val="2"/>
        </w:numPr>
        <w:autoSpaceDE w:val="0"/>
        <w:autoSpaceDN w:val="0"/>
        <w:adjustRightInd w:val="0"/>
        <w:spacing w:after="0" w:line="240" w:lineRule="auto"/>
        <w:ind w:left="360"/>
        <w:rPr>
          <w:rFonts w:cstheme="minorHAnsi"/>
          <w:bCs/>
          <w:sz w:val="24"/>
          <w:szCs w:val="24"/>
        </w:rPr>
      </w:pPr>
      <w:r w:rsidRPr="0030009E">
        <w:rPr>
          <w:rFonts w:cstheme="minorHAnsi"/>
          <w:sz w:val="24"/>
          <w:szCs w:val="24"/>
        </w:rPr>
        <w:lastRenderedPageBreak/>
        <w:t xml:space="preserve">We have disclosed to you any communications from regulatory agencies, other independent practitioners or consultants, and others affecting the </w:t>
      </w:r>
      <w:r w:rsidR="0030009E" w:rsidRPr="0030009E">
        <w:rPr>
          <w:rFonts w:cstheme="minorHAnsi"/>
          <w:sz w:val="24"/>
          <w:szCs w:val="24"/>
        </w:rPr>
        <w:t>LEAP</w:t>
      </w:r>
      <w:r w:rsidRPr="0030009E">
        <w:rPr>
          <w:rFonts w:cstheme="minorHAnsi"/>
          <w:sz w:val="24"/>
          <w:szCs w:val="24"/>
        </w:rPr>
        <w:t xml:space="preserve"> submission and related hard copy documents, including communications received between </w:t>
      </w:r>
      <w:r w:rsidR="0030009E" w:rsidRPr="0030009E">
        <w:rPr>
          <w:rFonts w:cstheme="minorHAnsi"/>
          <w:sz w:val="24"/>
          <w:szCs w:val="24"/>
          <w:highlight w:val="yellow"/>
        </w:rPr>
        <w:t>Assertion Year End Date</w:t>
      </w:r>
      <w:r w:rsidRPr="0030009E">
        <w:rPr>
          <w:rFonts w:cstheme="minorHAnsi"/>
          <w:sz w:val="24"/>
          <w:szCs w:val="24"/>
        </w:rPr>
        <w:t xml:space="preserve"> and </w:t>
      </w:r>
      <w:r w:rsidR="0030009E" w:rsidRPr="0030009E">
        <w:rPr>
          <w:rFonts w:cstheme="minorHAnsi"/>
          <w:sz w:val="24"/>
          <w:szCs w:val="24"/>
        </w:rPr>
        <w:t xml:space="preserve">the </w:t>
      </w:r>
      <w:r w:rsidRPr="0030009E">
        <w:rPr>
          <w:rFonts w:cstheme="minorHAnsi"/>
          <w:sz w:val="24"/>
          <w:szCs w:val="24"/>
          <w:highlight w:val="yellow"/>
        </w:rPr>
        <w:t>Report</w:t>
      </w:r>
      <w:r w:rsidR="0030009E" w:rsidRPr="0030009E">
        <w:rPr>
          <w:rFonts w:cstheme="minorHAnsi"/>
          <w:sz w:val="24"/>
          <w:szCs w:val="24"/>
          <w:highlight w:val="yellow"/>
        </w:rPr>
        <w:t xml:space="preserve"> Date</w:t>
      </w:r>
      <w:r w:rsidR="0030009E" w:rsidRPr="0030009E">
        <w:rPr>
          <w:rFonts w:cstheme="minorHAnsi"/>
          <w:sz w:val="24"/>
          <w:szCs w:val="24"/>
        </w:rPr>
        <w:t>.</w:t>
      </w:r>
    </w:p>
    <w:p w14:paraId="42B33A7D" w14:textId="77777777" w:rsidR="0030009E" w:rsidRPr="0030009E" w:rsidRDefault="0030009E" w:rsidP="00F64A06">
      <w:pPr>
        <w:autoSpaceDE w:val="0"/>
        <w:autoSpaceDN w:val="0"/>
        <w:adjustRightInd w:val="0"/>
        <w:spacing w:after="0" w:line="240" w:lineRule="auto"/>
        <w:ind w:left="360"/>
        <w:rPr>
          <w:rFonts w:cstheme="minorHAnsi"/>
          <w:sz w:val="24"/>
          <w:szCs w:val="24"/>
        </w:rPr>
      </w:pPr>
    </w:p>
    <w:p w14:paraId="7698A045" w14:textId="1F582F82" w:rsidR="00F64A06" w:rsidRPr="0030009E" w:rsidRDefault="00F64A06" w:rsidP="0030009E">
      <w:pPr>
        <w:pStyle w:val="ListParagraph"/>
        <w:numPr>
          <w:ilvl w:val="0"/>
          <w:numId w:val="2"/>
        </w:numPr>
        <w:autoSpaceDE w:val="0"/>
        <w:autoSpaceDN w:val="0"/>
        <w:adjustRightInd w:val="0"/>
        <w:spacing w:after="0" w:line="240" w:lineRule="auto"/>
        <w:ind w:left="360"/>
        <w:rPr>
          <w:rFonts w:cstheme="minorHAnsi"/>
          <w:sz w:val="24"/>
          <w:szCs w:val="24"/>
        </w:rPr>
      </w:pPr>
      <w:r w:rsidRPr="0030009E">
        <w:rPr>
          <w:rFonts w:cstheme="minorHAnsi"/>
          <w:sz w:val="24"/>
          <w:szCs w:val="24"/>
        </w:rPr>
        <w:t xml:space="preserve">We have provided you with access to all records that we believe are relevant to the </w:t>
      </w:r>
      <w:r w:rsidR="0030009E" w:rsidRPr="0030009E">
        <w:rPr>
          <w:rFonts w:cstheme="minorHAnsi"/>
          <w:sz w:val="24"/>
          <w:szCs w:val="24"/>
        </w:rPr>
        <w:t>LEAP</w:t>
      </w:r>
      <w:r w:rsidRPr="0030009E">
        <w:rPr>
          <w:rFonts w:cstheme="minorHAnsi"/>
          <w:sz w:val="24"/>
          <w:szCs w:val="24"/>
        </w:rPr>
        <w:t xml:space="preserve"> submission and related hard copy documents and to the agreed-upon procedure.</w:t>
      </w:r>
    </w:p>
    <w:p w14:paraId="1CD91825" w14:textId="77777777" w:rsidR="0030009E" w:rsidRPr="0030009E" w:rsidRDefault="0030009E" w:rsidP="00F64A06">
      <w:pPr>
        <w:autoSpaceDE w:val="0"/>
        <w:autoSpaceDN w:val="0"/>
        <w:adjustRightInd w:val="0"/>
        <w:spacing w:after="0" w:line="240" w:lineRule="auto"/>
        <w:ind w:left="360"/>
        <w:rPr>
          <w:rFonts w:cstheme="minorHAnsi"/>
          <w:sz w:val="24"/>
          <w:szCs w:val="24"/>
        </w:rPr>
      </w:pPr>
    </w:p>
    <w:p w14:paraId="58496BCE" w14:textId="7359948A" w:rsidR="00F64A06" w:rsidRPr="0030009E" w:rsidRDefault="00F64A06" w:rsidP="0030009E">
      <w:pPr>
        <w:pStyle w:val="ListParagraph"/>
        <w:numPr>
          <w:ilvl w:val="0"/>
          <w:numId w:val="2"/>
        </w:numPr>
        <w:autoSpaceDE w:val="0"/>
        <w:autoSpaceDN w:val="0"/>
        <w:adjustRightInd w:val="0"/>
        <w:spacing w:after="0" w:line="240" w:lineRule="auto"/>
        <w:ind w:left="360"/>
        <w:rPr>
          <w:rFonts w:cstheme="minorHAnsi"/>
          <w:sz w:val="24"/>
          <w:szCs w:val="24"/>
        </w:rPr>
      </w:pPr>
      <w:r w:rsidRPr="0030009E">
        <w:rPr>
          <w:rFonts w:cstheme="minorHAnsi"/>
          <w:sz w:val="24"/>
          <w:szCs w:val="24"/>
        </w:rPr>
        <w:t>We have disclosed to you [List other matters as you have deemed appropriate.]</w:t>
      </w:r>
    </w:p>
    <w:p w14:paraId="6121884C" w14:textId="77777777" w:rsidR="0030009E" w:rsidRPr="0030009E" w:rsidRDefault="0030009E" w:rsidP="00F64A06">
      <w:pPr>
        <w:autoSpaceDE w:val="0"/>
        <w:autoSpaceDN w:val="0"/>
        <w:adjustRightInd w:val="0"/>
        <w:spacing w:after="0" w:line="240" w:lineRule="auto"/>
        <w:ind w:left="360"/>
        <w:rPr>
          <w:rFonts w:cstheme="minorHAnsi"/>
          <w:sz w:val="24"/>
          <w:szCs w:val="24"/>
        </w:rPr>
      </w:pPr>
    </w:p>
    <w:p w14:paraId="13B997AE" w14:textId="62294C90" w:rsidR="00F64A06" w:rsidRDefault="00F64A06" w:rsidP="0030009E">
      <w:pPr>
        <w:pStyle w:val="ListParagraph"/>
        <w:numPr>
          <w:ilvl w:val="0"/>
          <w:numId w:val="2"/>
        </w:numPr>
        <w:autoSpaceDE w:val="0"/>
        <w:autoSpaceDN w:val="0"/>
        <w:adjustRightInd w:val="0"/>
        <w:spacing w:after="0" w:line="240" w:lineRule="auto"/>
        <w:ind w:left="360"/>
        <w:rPr>
          <w:rFonts w:cstheme="minorHAnsi"/>
          <w:sz w:val="24"/>
          <w:szCs w:val="24"/>
        </w:rPr>
      </w:pPr>
      <w:r w:rsidRPr="0030009E">
        <w:rPr>
          <w:rFonts w:cstheme="minorHAnsi"/>
          <w:sz w:val="24"/>
          <w:szCs w:val="24"/>
        </w:rPr>
        <w:t>We have responded fully to all inquiries made to us by you during the engagement.</w:t>
      </w:r>
    </w:p>
    <w:p w14:paraId="656B1012" w14:textId="77777777" w:rsidR="0030009E" w:rsidRPr="0030009E" w:rsidRDefault="0030009E" w:rsidP="0030009E">
      <w:pPr>
        <w:autoSpaceDE w:val="0"/>
        <w:autoSpaceDN w:val="0"/>
        <w:adjustRightInd w:val="0"/>
        <w:spacing w:after="0" w:line="240" w:lineRule="auto"/>
        <w:rPr>
          <w:rFonts w:cstheme="minorHAnsi"/>
          <w:sz w:val="24"/>
          <w:szCs w:val="24"/>
        </w:rPr>
      </w:pPr>
    </w:p>
    <w:p w14:paraId="74CF3B0C" w14:textId="54AB52DC" w:rsidR="00F64A06" w:rsidRDefault="00F64A06" w:rsidP="0030009E">
      <w:pPr>
        <w:pStyle w:val="ListParagraph"/>
        <w:numPr>
          <w:ilvl w:val="0"/>
          <w:numId w:val="2"/>
        </w:numPr>
        <w:autoSpaceDE w:val="0"/>
        <w:autoSpaceDN w:val="0"/>
        <w:adjustRightInd w:val="0"/>
        <w:spacing w:after="0" w:line="240" w:lineRule="auto"/>
        <w:ind w:left="360"/>
        <w:rPr>
          <w:rFonts w:cstheme="minorHAnsi"/>
          <w:sz w:val="24"/>
          <w:szCs w:val="24"/>
        </w:rPr>
      </w:pPr>
      <w:r w:rsidRPr="0030009E">
        <w:rPr>
          <w:rFonts w:cstheme="minorHAnsi"/>
          <w:sz w:val="24"/>
          <w:szCs w:val="24"/>
        </w:rPr>
        <w:t xml:space="preserve">No events have occurred </w:t>
      </w:r>
      <w:proofErr w:type="gramStart"/>
      <w:r w:rsidRPr="0030009E">
        <w:rPr>
          <w:rFonts w:cstheme="minorHAnsi"/>
          <w:sz w:val="24"/>
          <w:szCs w:val="24"/>
        </w:rPr>
        <w:t>subsequent to</w:t>
      </w:r>
      <w:proofErr w:type="gramEnd"/>
      <w:r w:rsidRPr="0030009E">
        <w:rPr>
          <w:rFonts w:cstheme="minorHAnsi"/>
          <w:sz w:val="24"/>
          <w:szCs w:val="24"/>
        </w:rPr>
        <w:t xml:space="preserve"> </w:t>
      </w:r>
      <w:r w:rsidRPr="0030009E">
        <w:rPr>
          <w:rFonts w:cstheme="minorHAnsi"/>
          <w:sz w:val="24"/>
          <w:szCs w:val="24"/>
          <w:highlight w:val="yellow"/>
        </w:rPr>
        <w:t>Date of Subject Matter</w:t>
      </w:r>
      <w:r w:rsidRPr="0030009E">
        <w:rPr>
          <w:rFonts w:cstheme="minorHAnsi"/>
          <w:sz w:val="24"/>
          <w:szCs w:val="24"/>
        </w:rPr>
        <w:t xml:space="preserve"> that would require adjustment to or modification of the electronic submission or related hard copy documents.</w:t>
      </w:r>
    </w:p>
    <w:p w14:paraId="6DC823A7" w14:textId="77777777" w:rsidR="0030009E" w:rsidRPr="0030009E" w:rsidRDefault="0030009E" w:rsidP="0030009E">
      <w:pPr>
        <w:pStyle w:val="ListParagraph"/>
        <w:rPr>
          <w:rFonts w:cstheme="minorHAnsi"/>
          <w:sz w:val="24"/>
          <w:szCs w:val="24"/>
        </w:rPr>
      </w:pPr>
    </w:p>
    <w:p w14:paraId="4B96A86C" w14:textId="28A5E6CB" w:rsidR="0030009E" w:rsidRDefault="0030009E" w:rsidP="0030009E">
      <w:pPr>
        <w:autoSpaceDE w:val="0"/>
        <w:autoSpaceDN w:val="0"/>
        <w:adjustRightInd w:val="0"/>
        <w:spacing w:after="0" w:line="240" w:lineRule="auto"/>
        <w:rPr>
          <w:rFonts w:cstheme="minorHAnsi"/>
          <w:sz w:val="24"/>
          <w:szCs w:val="24"/>
        </w:rPr>
      </w:pPr>
    </w:p>
    <w:p w14:paraId="7F93C0B3" w14:textId="0275C53B" w:rsidR="0030009E" w:rsidRDefault="0030009E" w:rsidP="0030009E">
      <w:pPr>
        <w:autoSpaceDE w:val="0"/>
        <w:autoSpaceDN w:val="0"/>
        <w:adjustRightInd w:val="0"/>
        <w:spacing w:after="0" w:line="240" w:lineRule="auto"/>
        <w:rPr>
          <w:rFonts w:cstheme="minorHAnsi"/>
          <w:sz w:val="24"/>
          <w:szCs w:val="24"/>
        </w:rPr>
      </w:pPr>
      <w:r>
        <w:rPr>
          <w:rFonts w:cstheme="minorHAnsi"/>
          <w:sz w:val="24"/>
          <w:szCs w:val="24"/>
        </w:rPr>
        <w:t xml:space="preserve">Signature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t xml:space="preserve">Date </w:t>
      </w:r>
      <w:r>
        <w:rPr>
          <w:rFonts w:cstheme="minorHAnsi"/>
          <w:sz w:val="24"/>
          <w:szCs w:val="24"/>
          <w:u w:val="single"/>
        </w:rPr>
        <w:tab/>
      </w:r>
      <w:r>
        <w:rPr>
          <w:rFonts w:cstheme="minorHAnsi"/>
          <w:sz w:val="24"/>
          <w:szCs w:val="24"/>
          <w:u w:val="single"/>
        </w:rPr>
        <w:tab/>
      </w:r>
      <w:r>
        <w:rPr>
          <w:rFonts w:cstheme="minorHAnsi"/>
          <w:sz w:val="24"/>
          <w:szCs w:val="24"/>
          <w:u w:val="single"/>
        </w:rPr>
        <w:tab/>
      </w:r>
    </w:p>
    <w:p w14:paraId="7B1C1F21" w14:textId="00E325C3" w:rsidR="0030009E" w:rsidRDefault="0030009E" w:rsidP="0030009E">
      <w:pPr>
        <w:autoSpaceDE w:val="0"/>
        <w:autoSpaceDN w:val="0"/>
        <w:adjustRightInd w:val="0"/>
        <w:spacing w:after="0" w:line="240" w:lineRule="auto"/>
        <w:rPr>
          <w:rFonts w:cstheme="minorHAnsi"/>
          <w:sz w:val="24"/>
          <w:szCs w:val="24"/>
        </w:rPr>
      </w:pPr>
    </w:p>
    <w:p w14:paraId="252C5C1E" w14:textId="27DFDABE" w:rsidR="0030009E" w:rsidRPr="0030009E" w:rsidRDefault="0030009E" w:rsidP="0030009E">
      <w:pPr>
        <w:autoSpaceDE w:val="0"/>
        <w:autoSpaceDN w:val="0"/>
        <w:adjustRightInd w:val="0"/>
        <w:spacing w:after="0" w:line="240" w:lineRule="auto"/>
        <w:rPr>
          <w:rFonts w:cstheme="minorHAnsi"/>
          <w:sz w:val="24"/>
          <w:szCs w:val="24"/>
          <w:u w:val="single"/>
        </w:rPr>
      </w:pPr>
      <w:r>
        <w:rPr>
          <w:rFonts w:cstheme="minorHAnsi"/>
          <w:sz w:val="24"/>
          <w:szCs w:val="24"/>
        </w:rPr>
        <w:t xml:space="preserve">Signature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t xml:space="preserve">Date </w:t>
      </w:r>
      <w:r>
        <w:rPr>
          <w:rFonts w:cstheme="minorHAnsi"/>
          <w:sz w:val="24"/>
          <w:szCs w:val="24"/>
          <w:u w:val="single"/>
        </w:rPr>
        <w:tab/>
      </w:r>
      <w:r>
        <w:rPr>
          <w:rFonts w:cstheme="minorHAnsi"/>
          <w:sz w:val="24"/>
          <w:szCs w:val="24"/>
          <w:u w:val="single"/>
        </w:rPr>
        <w:tab/>
      </w:r>
      <w:r>
        <w:rPr>
          <w:rFonts w:cstheme="minorHAnsi"/>
          <w:sz w:val="24"/>
          <w:szCs w:val="24"/>
          <w:u w:val="single"/>
        </w:rPr>
        <w:tab/>
      </w:r>
    </w:p>
    <w:sectPr w:rsidR="0030009E" w:rsidRPr="0030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67BA7"/>
    <w:multiLevelType w:val="hybridMultilevel"/>
    <w:tmpl w:val="FD9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D4A81"/>
    <w:multiLevelType w:val="hybridMultilevel"/>
    <w:tmpl w:val="08E8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714B9"/>
    <w:multiLevelType w:val="hybridMultilevel"/>
    <w:tmpl w:val="FDCA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6"/>
    <w:rsid w:val="0030009E"/>
    <w:rsid w:val="004E6A18"/>
    <w:rsid w:val="00845E23"/>
    <w:rsid w:val="00990520"/>
    <w:rsid w:val="00D74EBB"/>
    <w:rsid w:val="00F61D09"/>
    <w:rsid w:val="00F6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8D2D"/>
  <w15:chartTrackingRefBased/>
  <w15:docId w15:val="{8ED9A1FE-2F56-4E37-B5A3-786296D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Sparks</dc:creator>
  <cp:keywords/>
  <dc:description/>
  <cp:lastModifiedBy>Kathy Christensen</cp:lastModifiedBy>
  <cp:revision>2</cp:revision>
  <dcterms:created xsi:type="dcterms:W3CDTF">2018-02-13T21:55:00Z</dcterms:created>
  <dcterms:modified xsi:type="dcterms:W3CDTF">2018-02-13T21:55:00Z</dcterms:modified>
</cp:coreProperties>
</file>